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5388"/>
        <w:gridCol w:w="3702"/>
        <w:gridCol w:w="5718"/>
      </w:tblGrid>
      <w:tr>
        <w:tblPrEx/>
        <w:trPr>
          <w:trHeight w:val="1761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388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702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718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Приложение 1</w:t>
            </w:r>
            <w:r>
              <w:rPr>
                <w:rFonts w:ascii="Times New Roman" w:hAnsi="Times New Roman" w:eastAsia="Times New Roman" w:cs="Times New Roman"/>
              </w:rPr>
            </w:r>
          </w:p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к постановлению администрации муниципального образования Ленинградский муниципальный округ Краснодарского края от 29.12.2025 г. № 2035</w:t>
            </w:r>
            <w:r>
              <w:rPr>
                <w:rFonts w:ascii="Times New Roman" w:hAnsi="Times New Roman" w:eastAsia="Times New Roman" w:cs="Times New Roman"/>
              </w:rPr>
            </w:r>
          </w:p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«Приложение 2</w:t>
            </w:r>
            <w:r>
              <w:rPr>
                <w:rFonts w:ascii="Times New Roman" w:hAnsi="Times New Roman" w:eastAsia="Times New Roman" w:cs="Times New Roman"/>
              </w:rPr>
            </w:r>
          </w:p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к муниципальной программе «Развитие улично-дорожной сети в обеспечении безопасности дорожного движения в муниципальном образовании Ленинградский муниципальный округ Краснодарского края»</w:t>
            </w:r>
            <w:r>
              <w:rPr>
                <w:rFonts w:ascii="Times New Roman" w:hAnsi="Times New Roman" w:eastAsia="Times New Roman" w:cs="Times New Roman"/>
              </w:rPr>
            </w:r>
          </w:p>
        </w:tc>
      </w:tr>
    </w:tbl>
    <w:p>
      <w:pPr>
        <w:pStyle w:val="651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</w:rPr>
      </w:r>
    </w:p>
    <w:p>
      <w:pPr>
        <w:pStyle w:val="651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</w:rPr>
      </w:r>
    </w:p>
    <w:p>
      <w:pPr>
        <w:pStyle w:val="651"/>
        <w:jc w:val="center"/>
        <w:widowControl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</w:rPr>
        <w:t xml:space="preserve">Перечень</w:t>
      </w:r>
      <w:r>
        <w:rPr>
          <w:rFonts w:ascii="Times New Roman" w:hAnsi="Times New Roman" w:eastAsia="Times New Roman" w:cs="Times New Roman"/>
        </w:rPr>
      </w:r>
    </w:p>
    <w:p>
      <w:pPr>
        <w:pStyle w:val="651"/>
        <w:jc w:val="center"/>
        <w:widowControl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</w:rPr>
        <w:t xml:space="preserve">основных мероприятий муниципальной программы «Развитие улично-дорожной сети </w:t>
      </w:r>
      <w:r>
        <w:rPr>
          <w:rFonts w:ascii="Times New Roman" w:hAnsi="Times New Roman" w:eastAsia="Times New Roman" w:cs="Times New Roman"/>
        </w:rPr>
      </w:r>
    </w:p>
    <w:p>
      <w:pPr>
        <w:pStyle w:val="651"/>
        <w:jc w:val="center"/>
        <w:widowControl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</w:rPr>
        <w:t xml:space="preserve">в обеспечении безопасности дорожного движения в муниципальном образовании </w:t>
      </w:r>
      <w:r>
        <w:rPr>
          <w:rFonts w:ascii="Times New Roman" w:hAnsi="Times New Roman" w:eastAsia="Times New Roman" w:cs="Times New Roman"/>
        </w:rPr>
      </w:r>
    </w:p>
    <w:p>
      <w:pPr>
        <w:pStyle w:val="651"/>
        <w:jc w:val="center"/>
        <w:widowControl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</w:rPr>
        <w:t xml:space="preserve">Ленинградский округ Краснодарского края»</w:t>
      </w:r>
      <w:r>
        <w:rPr>
          <w:rFonts w:ascii="Times New Roman" w:hAnsi="Times New Roman" w:eastAsia="Times New Roman" w:cs="Times New Roman"/>
        </w:rPr>
      </w:r>
    </w:p>
    <w:p>
      <w:pPr>
        <w:pStyle w:val="651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</w:rPr>
      </w:r>
    </w:p>
    <w:tbl>
      <w:tblPr>
        <w:tblW w:w="0" w:type="auto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550"/>
        <w:gridCol w:w="2780"/>
        <w:gridCol w:w="1200"/>
        <w:gridCol w:w="1143"/>
        <w:gridCol w:w="1170"/>
        <w:gridCol w:w="1152"/>
        <w:gridCol w:w="1035"/>
        <w:gridCol w:w="1050"/>
        <w:gridCol w:w="798"/>
        <w:gridCol w:w="1905"/>
        <w:gridCol w:w="2024"/>
      </w:tblGrid>
      <w:tr>
        <w:tblPrEx/>
        <w:trPr>
          <w:trHeight w:val="36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0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№ п/п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80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Наименование мероприятия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00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статус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43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год реализации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70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Объем финансирования, всего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03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В разрезе источников финансирования, руб.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05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Непосредственный результат реализации мероприятия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24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Участник муниципальной программы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</w:tr>
      <w:tr>
        <w:tblPrEx/>
        <w:trPr>
          <w:trHeight w:val="36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8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0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4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7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2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местный бюджет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краевой бюджет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5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федеральный бюджет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98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внебюджетные источники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05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24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36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0" w:type="dxa"/>
            <w:textDirection w:val="lrTb"/>
            <w:noWrap w:val="false"/>
          </w:tcPr>
          <w:p>
            <w:pPr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80" w:type="dxa"/>
            <w:textDirection w:val="lrTb"/>
            <w:noWrap w:val="false"/>
          </w:tcPr>
          <w:p>
            <w:pPr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00" w:type="dxa"/>
            <w:textDirection w:val="lrTb"/>
            <w:noWrap w:val="false"/>
          </w:tcPr>
          <w:p>
            <w:pPr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43" w:type="dxa"/>
            <w:textDirection w:val="lrTb"/>
            <w:noWrap w:val="false"/>
          </w:tcPr>
          <w:p>
            <w:pPr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70" w:type="dxa"/>
            <w:textDirection w:val="lrTb"/>
            <w:noWrap w:val="false"/>
          </w:tcPr>
          <w:p>
            <w:pPr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2" w:type="dxa"/>
            <w:textDirection w:val="lrTb"/>
            <w:noWrap w:val="false"/>
          </w:tcPr>
          <w:p>
            <w:pPr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5" w:type="dxa"/>
            <w:textDirection w:val="lrTb"/>
            <w:noWrap w:val="false"/>
          </w:tcPr>
          <w:p>
            <w:pPr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7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50" w:type="dxa"/>
            <w:textDirection w:val="lrTb"/>
            <w:noWrap w:val="false"/>
          </w:tcPr>
          <w:p>
            <w:pPr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8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98" w:type="dxa"/>
            <w:textDirection w:val="lrTb"/>
            <w:noWrap w:val="false"/>
          </w:tcPr>
          <w:p>
            <w:pPr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9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05" w:type="dxa"/>
            <w:textDirection w:val="lrTb"/>
            <w:noWrap w:val="false"/>
          </w:tcPr>
          <w:p>
            <w:pPr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10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24" w:type="dxa"/>
            <w:textDirection w:val="lrTb"/>
            <w:noWrap w:val="false"/>
          </w:tcPr>
          <w:p>
            <w:pPr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11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</w:tr>
      <w:tr>
        <w:tblPrEx/>
        <w:trPr>
          <w:trHeight w:val="360"/>
        </w:trPr>
        <w:tc>
          <w:tcPr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807" w:type="dxa"/>
            <w:textDirection w:val="lrTb"/>
            <w:noWrap w:val="false"/>
          </w:tcPr>
          <w:p>
            <w:pPr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Целевой показатель:увеличение протяженности отремонтированных автомобильных дорог местного значения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</w:tr>
      <w:tr>
        <w:tblPrEx/>
        <w:trPr>
          <w:trHeight w:val="36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0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80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Ремонт автомобильных дорог, в том числе аренда грейдера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00" w:type="dxa"/>
            <w:vMerge w:val="restart"/>
            <w:textDirection w:val="lrTb"/>
            <w:noWrap w:val="false"/>
          </w:tcPr>
          <w:p>
            <w:pPr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43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2026 год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7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16800,0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2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16800,0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5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98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05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Содержание дорожного полотна в удовлетворительном состоянии, увеличение протяженности отремонтированных автомобильных дорог, снижение аварийности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24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Управление строительства, содержания и развития улично-дорожной сети администрации Ленинградского муниципального округа,</w:t>
            </w:r>
            <w:r>
              <w:rPr>
                <w:rFonts w:ascii="Times New Roman" w:hAnsi="Times New Roman" w:cs="Times New Roman"/>
                <w:sz w:val="24"/>
              </w:rPr>
            </w:r>
          </w:p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подрядная организация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</w:tr>
      <w:tr>
        <w:tblPrEx/>
        <w:trPr>
          <w:trHeight w:val="36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8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0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43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2027 год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7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14500,0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2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14500,0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5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98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05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24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36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8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0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43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2028 год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7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15020,1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2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15020,1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5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98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05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24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8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0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43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2029 год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7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15513,8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2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15513,8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5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98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05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24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201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8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0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43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2030 год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7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15633,6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2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15633,6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5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98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05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24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8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0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43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всего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7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77467,5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2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77467,5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5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98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05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24" w:type="dxa"/>
            <w:vMerge w:val="continue"/>
            <w:textDirection w:val="lrTb"/>
            <w:noWrap w:val="false"/>
          </w:tcPr>
          <w:p>
            <w:r/>
            <w:r/>
          </w:p>
        </w:tc>
      </w:tr>
    </w:tbl>
    <w:tbl>
      <w:tblPr>
        <w:tblW w:w="0" w:type="auto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550"/>
        <w:gridCol w:w="2780"/>
        <w:gridCol w:w="1200"/>
        <w:gridCol w:w="1143"/>
        <w:gridCol w:w="1170"/>
        <w:gridCol w:w="1152"/>
        <w:gridCol w:w="1035"/>
        <w:gridCol w:w="1050"/>
        <w:gridCol w:w="798"/>
        <w:gridCol w:w="1905"/>
        <w:gridCol w:w="2024"/>
      </w:tblGrid>
      <w:tr>
        <w:tblPrEx/>
        <w:trPr>
          <w:trHeight w:val="36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0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80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Приобретение ГПС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00" w:type="dxa"/>
            <w:vMerge w:val="restart"/>
            <w:textDirection w:val="lrTb"/>
            <w:noWrap w:val="false"/>
          </w:tcPr>
          <w:p>
            <w:pPr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43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2026 год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7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9659,4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2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9659,4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5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98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05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Улучшение качества гравийных и грунтовых автомобильных дорог, увеличение протяженности дорог в гравийном исполнении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24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Управление строительства, содержания и развития улично-дорожной сети администрации Ленинградского муниципального округа,</w:t>
            </w:r>
            <w:r>
              <w:rPr>
                <w:rFonts w:ascii="Times New Roman" w:hAnsi="Times New Roman" w:cs="Times New Roman"/>
                <w:sz w:val="24"/>
              </w:rPr>
            </w:r>
          </w:p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МКУ «Центр комплексного содержания территорий»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8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0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43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2027 год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7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10000,0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2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10000,0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5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98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05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24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8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0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43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2028 год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7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10500,0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2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10500,0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5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98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05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24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8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0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43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2029 год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7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11000,0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2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11000,0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5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98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05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24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8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0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43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2030 год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7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11500,0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2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11500,0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5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98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05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24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8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0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43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всего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7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52659,4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2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52659,4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5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98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05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24" w:type="dxa"/>
            <w:vMerge w:val="continue"/>
            <w:textDirection w:val="lrTb"/>
            <w:noWrap w:val="false"/>
          </w:tcPr>
          <w:p>
            <w:r/>
            <w:r/>
          </w:p>
        </w:tc>
      </w:tr>
    </w:tbl>
    <w:tbl>
      <w:tblPr>
        <w:tblW w:w="0" w:type="auto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550"/>
        <w:gridCol w:w="2780"/>
        <w:gridCol w:w="1200"/>
        <w:gridCol w:w="1143"/>
        <w:gridCol w:w="1170"/>
        <w:gridCol w:w="1152"/>
        <w:gridCol w:w="1035"/>
        <w:gridCol w:w="1050"/>
        <w:gridCol w:w="798"/>
        <w:gridCol w:w="1905"/>
        <w:gridCol w:w="2024"/>
      </w:tblGrid>
      <w:tr>
        <w:tblPrEx/>
        <w:trPr>
          <w:trHeight w:val="360"/>
        </w:trPr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3" w:type="dxa"/>
            <w:textDirection w:val="lrTb"/>
            <w:noWrap w:val="false"/>
          </w:tcPr>
          <w:p>
            <w:pPr>
              <w:pStyle w:val="651"/>
              <w:jc w:val="right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Итого: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7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130126,9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2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130126,9</w:t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5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98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29" w:type="dxa"/>
            <w:textDirection w:val="lrTb"/>
            <w:noWrap w:val="false"/>
          </w:tcPr>
          <w:p>
            <w:pPr>
              <w:pStyle w:val="651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</w:tr>
      <w:tr>
        <w:tblPrEx/>
        <w:trPr>
          <w:trHeight w:val="360"/>
        </w:trPr>
        <w:tc>
          <w:tcPr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807" w:type="dxa"/>
            <w:textDirection w:val="lrTb"/>
            <w:noWrap w:val="false"/>
          </w:tcPr>
          <w:p>
            <w:pPr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Целевой показатель:увеличение протяженности отремонтированных тротуаров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</w:tr>
      <w:tr>
        <w:tblPrEx/>
        <w:trPr>
          <w:trHeight w:val="36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0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80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Строительство и ремонт тротуаров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00" w:type="dxa"/>
            <w:vMerge w:val="restart"/>
            <w:textDirection w:val="lrTb"/>
            <w:noWrap w:val="false"/>
          </w:tcPr>
          <w:p>
            <w:pPr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43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2026 год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70" w:type="dxa"/>
            <w:textDirection w:val="lrTb"/>
            <w:noWrap w:val="false"/>
          </w:tcPr>
          <w:p>
            <w:pPr>
              <w:jc w:val="both"/>
              <w:widowControl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eastAsia="Times New Roman" w:cs="Times New Roman"/>
                <w:sz w:val="22"/>
              </w:rPr>
              <w:t xml:space="preserve">18669,0</w:t>
            </w:r>
            <w:r>
              <w:rPr>
                <w:rFonts w:ascii="Times New Roman" w:hAnsi="Times New Roman" w:cs="Times New Roman"/>
                <w:sz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2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4587,0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14082,0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5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98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05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Содержание тротуарных дорожек в удовлетворительном состоянии и улучшение качества тротуарного покрытия,</w:t>
            </w:r>
            <w:r>
              <w:rPr>
                <w:rFonts w:ascii="Times New Roman" w:hAnsi="Times New Roman" w:cs="Times New Roman"/>
                <w:sz w:val="24"/>
              </w:rPr>
            </w:r>
          </w:p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увеличение доли протяженности тротуаров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24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Управление строительства, содержания и развития улично-дорожной сети администрации Ленинградского муниципального округа, подрядная организация, </w:t>
            </w:r>
            <w:r>
              <w:rPr>
                <w:rFonts w:ascii="Times New Roman" w:hAnsi="Times New Roman" w:cs="Times New Roman"/>
                <w:sz w:val="24"/>
              </w:rPr>
            </w:r>
          </w:p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МКУ «Центр комплексного содержания территорий»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8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0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43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2027 год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70" w:type="dxa"/>
            <w:textDirection w:val="lrTb"/>
            <w:noWrap w:val="false"/>
          </w:tcPr>
          <w:p>
            <w:pPr>
              <w:jc w:val="both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7587,0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2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7587,0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5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98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05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24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8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0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43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2028 год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7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7600,0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2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7600,0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5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98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05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24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8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0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43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2029 год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7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7800,0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2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7800,0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5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98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05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24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8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0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43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2030 год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7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8000,0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2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8000,0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5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98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05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24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8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0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43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всего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7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2"/>
              </w:rPr>
              <w:t xml:space="preserve">49656,</w:t>
            </w:r>
            <w:r>
              <w:rPr>
                <w:rFonts w:ascii="Times New Roman" w:hAnsi="Times New Roman" w:eastAsia="Times New Roman" w:cs="Times New Roman"/>
                <w:sz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2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35574,0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14082,0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5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98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05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24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8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0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43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7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2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5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98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05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24" w:type="dxa"/>
            <w:vMerge w:val="continue"/>
            <w:textDirection w:val="lrTb"/>
            <w:noWrap w:val="false"/>
          </w:tcPr>
          <w:p>
            <w:r/>
            <w:r/>
          </w:p>
        </w:tc>
      </w:tr>
    </w:tbl>
    <w:tbl>
      <w:tblPr>
        <w:tblW w:w="0" w:type="auto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550"/>
        <w:gridCol w:w="2780"/>
        <w:gridCol w:w="1200"/>
        <w:gridCol w:w="1143"/>
        <w:gridCol w:w="1170"/>
        <w:gridCol w:w="1152"/>
        <w:gridCol w:w="1035"/>
        <w:gridCol w:w="1050"/>
        <w:gridCol w:w="798"/>
        <w:gridCol w:w="1905"/>
        <w:gridCol w:w="2024"/>
      </w:tblGrid>
      <w:tr>
        <w:tblPrEx/>
        <w:trPr>
          <w:trHeight w:val="36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0" w:type="dxa"/>
            <w:vMerge w:val="restart"/>
            <w:textDirection w:val="lrTb"/>
            <w:noWrap w:val="false"/>
          </w:tcPr>
          <w:p>
            <w:pPr>
              <w:pStyle w:val="651"/>
              <w:jc w:val="right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80" w:type="dxa"/>
            <w:vMerge w:val="restart"/>
            <w:textDirection w:val="lrTb"/>
            <w:noWrap w:val="false"/>
          </w:tcPr>
          <w:p>
            <w:pPr>
              <w:pStyle w:val="651"/>
              <w:jc w:val="left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Изготовление проектно-сметной организации 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00" w:type="dxa"/>
            <w:vMerge w:val="restart"/>
            <w:textDirection w:val="lrTb"/>
            <w:noWrap w:val="false"/>
          </w:tcPr>
          <w:p>
            <w:pPr>
              <w:pStyle w:val="651"/>
              <w:jc w:val="center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43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2026 год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7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595,0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2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595,0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5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98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05" w:type="dxa"/>
            <w:vMerge w:val="restart"/>
            <w:textDirection w:val="lrTb"/>
            <w:noWrap w:val="false"/>
          </w:tcPr>
          <w:p>
            <w:pPr>
              <w:pStyle w:val="651"/>
              <w:jc w:val="center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24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Управление строительства, содержания и развития улично-дорожной сети администрации Ленинградского муниципального округа, подрядная организация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</w:tr>
      <w:tr>
        <w:tblPrEx/>
        <w:trPr>
          <w:trHeight w:val="36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8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0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43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2027 год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7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500,0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2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500,0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5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98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05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24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36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8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0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43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2028 год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7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532,0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2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532,0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5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98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05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24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36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8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0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43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2029 год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7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750,0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2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750,0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5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98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05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24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36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8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0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43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2030 год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7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800,0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2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800,0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5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98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05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24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36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8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0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43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всего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7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3177,0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2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3177,0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5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98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05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24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360"/>
        </w:trPr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3" w:type="dxa"/>
            <w:textDirection w:val="lrTb"/>
            <w:noWrap w:val="false"/>
          </w:tcPr>
          <w:p>
            <w:pPr>
              <w:pStyle w:val="651"/>
              <w:jc w:val="right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Итого: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7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52833,</w:t>
            </w:r>
            <w:r>
              <w:rPr>
                <w:rFonts w:ascii="Times New Roman" w:hAnsi="Times New Roman" w:eastAsia="Times New Roman" w:cs="Times New Roman"/>
                <w:sz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2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38751,0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14082,0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5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98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29" w:type="dxa"/>
            <w:textDirection w:val="lrTb"/>
            <w:noWrap w:val="false"/>
          </w:tcPr>
          <w:p>
            <w:pPr>
              <w:pStyle w:val="651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</w:tr>
      <w:tr>
        <w:tblPrEx/>
        <w:trPr>
          <w:trHeight w:val="360"/>
        </w:trPr>
        <w:tc>
          <w:tcPr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807" w:type="dxa"/>
            <w:textDirection w:val="lrTb"/>
            <w:noWrap w:val="false"/>
          </w:tcPr>
          <w:p>
            <w:pPr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Целевой показатель:увеличение протяженности отремонтированных и обустроенных линий уличного освещения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</w:tr>
      <w:tr>
        <w:tblPrEx/>
        <w:trPr>
          <w:trHeight w:val="36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0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80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Строительство и ремонт (модернизация) уличного освещения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00" w:type="dxa"/>
            <w:vMerge w:val="restart"/>
            <w:textDirection w:val="lrTb"/>
            <w:noWrap w:val="false"/>
          </w:tcPr>
          <w:p>
            <w:pPr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43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2026 год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7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5000,0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2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5000,0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5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98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05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Бесперебойная работа уличного освещения и увеличение доли освещенности автомобильных дорог, тротуаров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24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Управление строительства, содержания и развития улично-дорожной сети администрации Ленинградского муниципального округа, подрядная организация, </w:t>
            </w:r>
            <w:r>
              <w:rPr>
                <w:rFonts w:ascii="Times New Roman" w:hAnsi="Times New Roman" w:eastAsia="Times New Roman" w:cs="Times New Roman"/>
                <w:sz w:val="24"/>
              </w:rPr>
              <w:t xml:space="preserve">МКУ «Центр комплексного содержания территорий»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</w:tr>
      <w:tr>
        <w:tblPrEx/>
        <w:trPr>
          <w:trHeight w:val="36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8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0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43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2027 год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7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4517,5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2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4517,5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5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98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05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24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36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8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0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43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2028 год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7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4550,0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2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4550,0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5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98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05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24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36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8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0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43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2029 год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7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5000,0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2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5000,0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5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98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05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24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36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8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0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43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2030 год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7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5500,0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2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5500,0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5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98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05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24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8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0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43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всего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7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24567,5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2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24567,5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5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98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05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24" w:type="dxa"/>
            <w:vMerge w:val="continue"/>
            <w:textDirection w:val="lrTb"/>
            <w:noWrap w:val="false"/>
          </w:tcPr>
          <w:p>
            <w:r/>
            <w:r/>
          </w:p>
        </w:tc>
      </w:tr>
    </w:tbl>
    <w:tbl>
      <w:tblPr>
        <w:tblW w:w="0" w:type="auto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550"/>
        <w:gridCol w:w="2780"/>
        <w:gridCol w:w="1200"/>
        <w:gridCol w:w="1143"/>
        <w:gridCol w:w="1170"/>
        <w:gridCol w:w="1152"/>
        <w:gridCol w:w="1035"/>
        <w:gridCol w:w="1050"/>
        <w:gridCol w:w="798"/>
        <w:gridCol w:w="1905"/>
        <w:gridCol w:w="2024"/>
      </w:tblGrid>
      <w:tr>
        <w:tblPrEx/>
        <w:trPr>
          <w:trHeight w:val="36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0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80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Выполнение работ по технологическому подключению уличного освещения  сети электроснабжения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00" w:type="dxa"/>
            <w:vMerge w:val="restart"/>
            <w:textDirection w:val="lrTb"/>
            <w:noWrap w:val="false"/>
          </w:tcPr>
          <w:p>
            <w:pPr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43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2026 год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7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500,0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2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500,0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5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98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05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Увеличение точек учета уличного освещения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24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Управление строительства, содержания и развития улично-дорожной сети администрации Ленинградского муниципального округа, </w:t>
            </w:r>
            <w:r>
              <w:rPr>
                <w:rFonts w:ascii="Times New Roman" w:hAnsi="Times New Roman" w:cs="Times New Roman"/>
                <w:sz w:val="24"/>
              </w:rPr>
            </w:r>
          </w:p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РЭС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8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0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43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2027 год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7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500,0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2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500,0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5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98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05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24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8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0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43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2028 год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7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520,0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2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520,0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5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98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05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24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8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0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43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2029 год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7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600,0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2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600,0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5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98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05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24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8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0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43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2030 год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7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650,0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2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650,0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5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98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05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24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8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0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43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всего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7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2770,0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2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2770,0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5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98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05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24" w:type="dxa"/>
            <w:vMerge w:val="continue"/>
            <w:textDirection w:val="lrTb"/>
            <w:noWrap w:val="false"/>
          </w:tcPr>
          <w:p>
            <w:r/>
            <w:r/>
          </w:p>
        </w:tc>
      </w:tr>
    </w:tbl>
    <w:tbl>
      <w:tblPr>
        <w:tblW w:w="0" w:type="auto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550"/>
        <w:gridCol w:w="2780"/>
        <w:gridCol w:w="1200"/>
        <w:gridCol w:w="1143"/>
        <w:gridCol w:w="1170"/>
        <w:gridCol w:w="1152"/>
        <w:gridCol w:w="1035"/>
        <w:gridCol w:w="1050"/>
        <w:gridCol w:w="798"/>
        <w:gridCol w:w="1905"/>
        <w:gridCol w:w="2024"/>
      </w:tblGrid>
      <w:tr>
        <w:tblPrEx/>
        <w:trPr>
          <w:trHeight w:val="36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0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80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Приобретение электромонтажного оборудования (расходных материалов (светодиодных ламп,светильников,кронштейнов, монтажной ленты и т.д)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00" w:type="dxa"/>
            <w:vMerge w:val="restart"/>
            <w:textDirection w:val="lrTb"/>
            <w:noWrap w:val="false"/>
          </w:tcPr>
          <w:p>
            <w:pPr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43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2026 год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7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1700,0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2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1700,0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5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98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05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Выполнение оперативного ремонта уличного освещения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24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Управление строительства, содержания и развития улично-дорожной сети администрации Ленинградского муниципального округа,</w:t>
            </w:r>
            <w:r>
              <w:rPr>
                <w:rFonts w:ascii="Times New Roman" w:hAnsi="Times New Roman" w:cs="Times New Roman"/>
                <w:sz w:val="24"/>
              </w:rPr>
            </w:r>
          </w:p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МКУ «Центр комплексного содержания территорий»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8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0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43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2027 год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7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350,0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2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350,0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5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98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05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24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8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0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43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2028 год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7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360,0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2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360,0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5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98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05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24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8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0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43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2029 год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7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380,0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2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380,0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5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98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05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24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8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0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43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2030 год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7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400,0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2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400,0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5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98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05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24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8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0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43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всего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7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3190,0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2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3190,0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5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98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05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24" w:type="dxa"/>
            <w:vMerge w:val="continue"/>
            <w:textDirection w:val="lrTb"/>
            <w:noWrap w:val="false"/>
          </w:tcPr>
          <w:p>
            <w:r/>
            <w:r/>
          </w:p>
        </w:tc>
      </w:tr>
    </w:tbl>
    <w:tbl>
      <w:tblPr>
        <w:tblW w:w="0" w:type="auto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550"/>
        <w:gridCol w:w="2780"/>
        <w:gridCol w:w="1200"/>
        <w:gridCol w:w="1143"/>
        <w:gridCol w:w="1170"/>
        <w:gridCol w:w="1152"/>
        <w:gridCol w:w="1035"/>
        <w:gridCol w:w="1050"/>
        <w:gridCol w:w="798"/>
        <w:gridCol w:w="1905"/>
        <w:gridCol w:w="2024"/>
      </w:tblGrid>
      <w:tr>
        <w:tblPrEx/>
        <w:trPr>
          <w:trHeight w:val="36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0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80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Оплата поставки электроэнергии улично-дорожной сети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00" w:type="dxa"/>
            <w:vMerge w:val="restart"/>
            <w:textDirection w:val="lrTb"/>
            <w:noWrap w:val="false"/>
          </w:tcPr>
          <w:p>
            <w:pPr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</w:rPr>
            </w:r>
          </w:p>
          <w:p>
            <w:pPr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</w:r>
            <w:r>
              <w:rPr>
                <w:rFonts w:ascii="Times New Roman" w:hAnsi="Times New Roman" w:cs="Times New Roman"/>
                <w:sz w:val="24"/>
              </w:rPr>
            </w:r>
          </w:p>
          <w:p>
            <w:pPr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</w:r>
            <w:r>
              <w:rPr>
                <w:rFonts w:ascii="Times New Roman" w:hAnsi="Times New Roman" w:cs="Times New Roman"/>
                <w:sz w:val="24"/>
              </w:rPr>
            </w:r>
          </w:p>
          <w:p>
            <w:pPr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</w:r>
            <w:r>
              <w:rPr>
                <w:rFonts w:ascii="Times New Roman" w:hAnsi="Times New Roman" w:cs="Times New Roman"/>
                <w:sz w:val="24"/>
              </w:rPr>
            </w:r>
          </w:p>
          <w:p>
            <w:pPr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</w:r>
            <w:r>
              <w:rPr>
                <w:rFonts w:ascii="Times New Roman" w:hAnsi="Times New Roman" w:cs="Times New Roman"/>
                <w:sz w:val="24"/>
              </w:rPr>
            </w:r>
          </w:p>
          <w:p>
            <w:pPr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</w:r>
            <w:r>
              <w:rPr>
                <w:rFonts w:ascii="Times New Roman" w:hAnsi="Times New Roman" w:cs="Times New Roman"/>
                <w:sz w:val="24"/>
              </w:rPr>
            </w:r>
          </w:p>
          <w:p>
            <w:pPr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</w:r>
            <w:r>
              <w:rPr>
                <w:rFonts w:ascii="Times New Roman" w:hAnsi="Times New Roman" w:cs="Times New Roman"/>
                <w:sz w:val="24"/>
              </w:rPr>
            </w:r>
          </w:p>
          <w:p>
            <w:pPr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</w:r>
            <w:r>
              <w:rPr>
                <w:rFonts w:ascii="Times New Roman" w:hAnsi="Times New Roman" w:cs="Times New Roman"/>
                <w:sz w:val="24"/>
              </w:rPr>
            </w:r>
          </w:p>
          <w:p>
            <w:pPr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</w:r>
            <w:r>
              <w:rPr>
                <w:rFonts w:ascii="Times New Roman" w:hAnsi="Times New Roman" w:cs="Times New Roman"/>
                <w:sz w:val="24"/>
              </w:rPr>
            </w:r>
          </w:p>
          <w:p>
            <w:pPr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</w:r>
            <w:r>
              <w:rPr>
                <w:rFonts w:ascii="Times New Roman" w:hAnsi="Times New Roman" w:cs="Times New Roman"/>
                <w:sz w:val="24"/>
              </w:rPr>
            </w:r>
          </w:p>
          <w:p>
            <w:pPr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</w:r>
            <w:r>
              <w:rPr>
                <w:rFonts w:ascii="Times New Roman" w:hAnsi="Times New Roman" w:cs="Times New Roman"/>
                <w:sz w:val="24"/>
              </w:rPr>
            </w:r>
          </w:p>
          <w:p>
            <w:pPr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</w:r>
            <w:r>
              <w:rPr>
                <w:rFonts w:ascii="Times New Roman" w:hAnsi="Times New Roman" w:cs="Times New Roman"/>
                <w:sz w:val="24"/>
              </w:rPr>
            </w:r>
          </w:p>
          <w:p>
            <w:pPr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43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2026 год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7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23500,0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2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23500,0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5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98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05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Обеспечение улично-дорожной сети освещением в целях повышения степени безопасности дорожного движения 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24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Управление строительства, содержания и развития улично-дорожной сети администрации Ленинградского муниципального округа,</w:t>
            </w:r>
            <w:r>
              <w:rPr>
                <w:rFonts w:ascii="Times New Roman" w:hAnsi="Times New Roman" w:cs="Times New Roman"/>
                <w:sz w:val="24"/>
              </w:rPr>
            </w:r>
          </w:p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МКУ «Центр комплексного содержания территорий»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8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0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43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2027 год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7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16000,0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2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16000,0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5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98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05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24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8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0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43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2028 год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7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16100,0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2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16100,0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5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98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05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24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8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0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43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2029 год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7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16500,0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2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16500,0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5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98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05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24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8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0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43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2030 год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7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17500,0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2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17500,0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5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98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05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24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276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8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0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43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всего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70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89600,0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2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89600,0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5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50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98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05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24" w:type="dxa"/>
            <w:vMerge w:val="continue"/>
            <w:textDirection w:val="lrTb"/>
            <w:noWrap w:val="false"/>
          </w:tcPr>
          <w:p>
            <w:r/>
            <w:r/>
          </w:p>
        </w:tc>
      </w:tr>
    </w:tbl>
    <w:tbl>
      <w:tblPr>
        <w:tblW w:w="0" w:type="auto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550"/>
        <w:gridCol w:w="2780"/>
        <w:gridCol w:w="1200"/>
        <w:gridCol w:w="1143"/>
        <w:gridCol w:w="1170"/>
        <w:gridCol w:w="1152"/>
        <w:gridCol w:w="1035"/>
        <w:gridCol w:w="1050"/>
        <w:gridCol w:w="798"/>
        <w:gridCol w:w="1905"/>
        <w:gridCol w:w="2024"/>
      </w:tblGrid>
      <w:tr>
        <w:tblPrEx/>
        <w:trPr>
          <w:trHeight w:val="360"/>
        </w:trPr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3" w:type="dxa"/>
            <w:textDirection w:val="lrTb"/>
            <w:noWrap w:val="false"/>
          </w:tcPr>
          <w:p>
            <w:pPr>
              <w:pStyle w:val="651"/>
              <w:jc w:val="right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Итого: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70" w:type="dxa"/>
            <w:textDirection w:val="lrTb"/>
            <w:noWrap w:val="false"/>
          </w:tcPr>
          <w:p>
            <w:pPr>
              <w:pStyle w:val="651"/>
              <w:jc w:val="both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120127,5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2" w:type="dxa"/>
            <w:textDirection w:val="lrTb"/>
            <w:noWrap w:val="false"/>
          </w:tcPr>
          <w:p>
            <w:pPr>
              <w:pStyle w:val="651"/>
              <w:jc w:val="both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120127,5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5" w:type="dxa"/>
            <w:textDirection w:val="lrTb"/>
            <w:noWrap w:val="false"/>
          </w:tcPr>
          <w:p>
            <w:pPr>
              <w:pStyle w:val="651"/>
              <w:jc w:val="both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50" w:type="dxa"/>
            <w:textDirection w:val="lrTb"/>
            <w:noWrap w:val="false"/>
          </w:tcPr>
          <w:p>
            <w:pPr>
              <w:pStyle w:val="651"/>
              <w:jc w:val="both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98" w:type="dxa"/>
            <w:textDirection w:val="lrTb"/>
            <w:noWrap w:val="false"/>
          </w:tcPr>
          <w:p>
            <w:pPr>
              <w:pStyle w:val="651"/>
              <w:jc w:val="both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29" w:type="dxa"/>
            <w:textDirection w:val="lrTb"/>
            <w:noWrap w:val="false"/>
          </w:tcPr>
          <w:p>
            <w:pPr>
              <w:pStyle w:val="651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</w:tr>
      <w:tr>
        <w:tblPrEx/>
        <w:trPr>
          <w:trHeight w:val="360"/>
        </w:trPr>
        <w:tc>
          <w:tcPr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807" w:type="dxa"/>
            <w:textDirection w:val="lrTb"/>
            <w:noWrap w:val="false"/>
          </w:tcPr>
          <w:p>
            <w:pPr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Целевой показатель:увеличение участков территорий улично-дорожной сети по улучшению условий обеспечения </w:t>
            </w:r>
            <w:r>
              <w:rPr>
                <w:rFonts w:ascii="Times New Roman" w:hAnsi="Times New Roman" w:cs="Times New Roman"/>
                <w:sz w:val="24"/>
              </w:rPr>
            </w:r>
          </w:p>
          <w:p>
            <w:pPr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безопасности дорожного движения транспортных средств и пешеходов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</w:tr>
    </w:tbl>
    <w:tbl>
      <w:tblPr>
        <w:tblW w:w="0" w:type="auto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550"/>
        <w:gridCol w:w="2780"/>
        <w:gridCol w:w="1200"/>
        <w:gridCol w:w="1143"/>
        <w:gridCol w:w="1170"/>
        <w:gridCol w:w="1152"/>
        <w:gridCol w:w="1035"/>
        <w:gridCol w:w="1050"/>
        <w:gridCol w:w="798"/>
        <w:gridCol w:w="1905"/>
        <w:gridCol w:w="2024"/>
      </w:tblGrid>
      <w:tr>
        <w:tblPrEx/>
        <w:trPr>
          <w:trHeight w:val="36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0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80" w:type="dxa"/>
            <w:vMerge w:val="restart"/>
            <w:textDirection w:val="lrTb"/>
            <w:noWrap w:val="false"/>
          </w:tcPr>
          <w:p>
            <w:pPr>
              <w:jc w:val="left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Нанесение дорожной разметки на автомобильных дорогах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00" w:type="dxa"/>
            <w:vMerge w:val="restart"/>
            <w:textDirection w:val="lrTb"/>
            <w:noWrap w:val="false"/>
          </w:tcPr>
          <w:p>
            <w:pPr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43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2026 год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7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6700,0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2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6700,0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5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98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05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Создание и улучшение условий обеспечения безопасности дорожного движения 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24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Управление строительства, содержания и развития улично-дорожной сети администрации Ленинградского муниципального округа,</w:t>
            </w:r>
            <w:r>
              <w:rPr>
                <w:rFonts w:ascii="Times New Roman" w:hAnsi="Times New Roman" w:cs="Times New Roman"/>
                <w:sz w:val="24"/>
              </w:rPr>
            </w:r>
          </w:p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подрядная организация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8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0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43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2027 год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7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6700,0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2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6700,0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5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98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05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24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8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0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43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2028 год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7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6740,0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2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6740,0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5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98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05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24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8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0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43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2029 год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7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6850,0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2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6850,0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5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98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05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24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8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0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43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2030 год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7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6950,0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2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6950,0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5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98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05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24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8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0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43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всего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7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33940,0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2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33940,0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5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98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05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24" w:type="dxa"/>
            <w:vMerge w:val="continue"/>
            <w:textDirection w:val="lrTb"/>
            <w:noWrap w:val="false"/>
          </w:tcPr>
          <w:p>
            <w:r/>
            <w:r/>
          </w:p>
        </w:tc>
      </w:tr>
    </w:tbl>
    <w:tbl>
      <w:tblPr>
        <w:tblW w:w="0" w:type="auto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550"/>
        <w:gridCol w:w="2780"/>
        <w:gridCol w:w="1200"/>
        <w:gridCol w:w="1143"/>
        <w:gridCol w:w="1170"/>
        <w:gridCol w:w="1152"/>
        <w:gridCol w:w="1035"/>
        <w:gridCol w:w="1050"/>
        <w:gridCol w:w="798"/>
        <w:gridCol w:w="1905"/>
        <w:gridCol w:w="2024"/>
      </w:tblGrid>
      <w:tr>
        <w:tblPrEx/>
        <w:trPr>
          <w:trHeight w:val="36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0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80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Обустройство улично-дорожной сети вблизи дошкольных и школьных образовательных учреждений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00" w:type="dxa"/>
            <w:vMerge w:val="restart"/>
            <w:textDirection w:val="lrTb"/>
            <w:noWrap w:val="false"/>
          </w:tcPr>
          <w:p>
            <w:pPr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43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2026 год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7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2100,0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2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2100,0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5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98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05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Снижение аварийности, создание условий безопасности дорожного движения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24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Управление строительства, содержания и развития улично-дорожной сети администрации Ленинградского муниципального округа, </w:t>
            </w:r>
            <w:r>
              <w:rPr>
                <w:rFonts w:ascii="Times New Roman" w:hAnsi="Times New Roman" w:cs="Times New Roman"/>
                <w:sz w:val="24"/>
              </w:rPr>
            </w:r>
          </w:p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подрядная организация,</w:t>
            </w:r>
            <w:r>
              <w:rPr>
                <w:rFonts w:ascii="Times New Roman" w:hAnsi="Times New Roman" w:cs="Times New Roman"/>
                <w:sz w:val="24"/>
              </w:rPr>
            </w:r>
          </w:p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МКУ «Центр комплексного содержания территорий»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8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0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43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2027 год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7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300,0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2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300,0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5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98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05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24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8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0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43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2028 год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7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320,0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2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320,0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5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98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05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24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8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0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43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2029 год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7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350,0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2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150,0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5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98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05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24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8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0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43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2030 год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7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370,0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2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370,0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5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98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05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24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8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0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43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всего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7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3440,0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2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3440,0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5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98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05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24" w:type="dxa"/>
            <w:vMerge w:val="continue"/>
            <w:textDirection w:val="lrTb"/>
            <w:noWrap w:val="false"/>
          </w:tcPr>
          <w:p>
            <w:r/>
            <w:r/>
          </w:p>
        </w:tc>
      </w:tr>
    </w:tbl>
    <w:tbl>
      <w:tblPr>
        <w:tblW w:w="0" w:type="auto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550"/>
        <w:gridCol w:w="2780"/>
        <w:gridCol w:w="1200"/>
        <w:gridCol w:w="1143"/>
        <w:gridCol w:w="1170"/>
        <w:gridCol w:w="1152"/>
        <w:gridCol w:w="1035"/>
        <w:gridCol w:w="1050"/>
        <w:gridCol w:w="798"/>
        <w:gridCol w:w="1905"/>
        <w:gridCol w:w="2024"/>
      </w:tblGrid>
      <w:tr>
        <w:tblPrEx/>
        <w:trPr>
          <w:trHeight w:val="36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0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80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Приобретение дорожных знаков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00" w:type="dxa"/>
            <w:vMerge w:val="restart"/>
            <w:textDirection w:val="lrTb"/>
            <w:noWrap w:val="false"/>
          </w:tcPr>
          <w:p>
            <w:pPr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43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2026 год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7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1000,0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2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1000,0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5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98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05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Выполнение работ по замене и установке недостающих дорожных знаков, создание условий безопасности дорожного движения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24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Управление строительства, содержания и развития улично-дорожной сети администрации Ленинградского муниципального округа,</w:t>
            </w:r>
            <w:r>
              <w:rPr>
                <w:rFonts w:ascii="Times New Roman" w:hAnsi="Times New Roman" w:cs="Times New Roman"/>
                <w:sz w:val="24"/>
              </w:rPr>
            </w:r>
          </w:p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МКУ «Центр комплексного содержания территорий»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8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0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43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2027 год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7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2000,0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2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2000,0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5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98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05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24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8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0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43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2028 год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7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2050,0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2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2050,0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5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98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05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24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8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0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43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2029 год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7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2100,0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2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2100,0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5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98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05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24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8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0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43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2030 год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7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2200,0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2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2200,0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5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98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05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24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8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0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43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всего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7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9350,0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2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9350,0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5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98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05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24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8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0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43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7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2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5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98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05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24" w:type="dxa"/>
            <w:vMerge w:val="continue"/>
            <w:textDirection w:val="lrTb"/>
            <w:noWrap w:val="false"/>
          </w:tcPr>
          <w:p>
            <w:r/>
            <w:r/>
          </w:p>
        </w:tc>
      </w:tr>
    </w:tbl>
    <w:tbl>
      <w:tblPr>
        <w:tblW w:w="0" w:type="auto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550"/>
        <w:gridCol w:w="2780"/>
        <w:gridCol w:w="1200"/>
        <w:gridCol w:w="1143"/>
        <w:gridCol w:w="1170"/>
        <w:gridCol w:w="1152"/>
        <w:gridCol w:w="1035"/>
        <w:gridCol w:w="1050"/>
        <w:gridCol w:w="798"/>
        <w:gridCol w:w="1905"/>
        <w:gridCol w:w="2024"/>
      </w:tblGrid>
      <w:tr>
        <w:tblPrEx/>
        <w:trPr>
          <w:trHeight w:val="36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0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80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Ремонт и покраска остановочных пунктов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00" w:type="dxa"/>
            <w:vMerge w:val="restart"/>
            <w:textDirection w:val="lrTb"/>
            <w:noWrap w:val="false"/>
          </w:tcPr>
          <w:p>
            <w:pPr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43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2026 год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7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500,0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2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500,0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5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98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05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Создание условий для безопасности граждан при пользовании  общественным пассажирским транспортом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24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Управление строительства, содержания и развития улично-дорожной сети администрации Ленинградского муниципального округа,</w:t>
            </w:r>
            <w:r>
              <w:rPr>
                <w:rFonts w:ascii="Times New Roman" w:hAnsi="Times New Roman" w:cs="Times New Roman"/>
                <w:sz w:val="24"/>
              </w:rPr>
            </w:r>
          </w:p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МКУ «Центр комплексного содержания территорий»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8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0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43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2027 год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7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100,0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2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100,0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5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98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05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24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8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0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43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2028 год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7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150,0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2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150,0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5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98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05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24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8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0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43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2029 год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7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200,0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2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200,0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5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98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05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24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8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0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43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2030 год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7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250,0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2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250,0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5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98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05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24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8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0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43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всего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7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1200,0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2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1200,0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5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98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05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24" w:type="dxa"/>
            <w:vMerge w:val="continue"/>
            <w:textDirection w:val="lrTb"/>
            <w:noWrap w:val="false"/>
          </w:tcPr>
          <w:p>
            <w:r/>
            <w:r/>
          </w:p>
        </w:tc>
      </w:tr>
    </w:tbl>
    <w:tbl>
      <w:tblPr>
        <w:tblW w:w="0" w:type="auto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550"/>
        <w:gridCol w:w="2780"/>
        <w:gridCol w:w="1200"/>
        <w:gridCol w:w="1143"/>
        <w:gridCol w:w="1170"/>
        <w:gridCol w:w="1152"/>
        <w:gridCol w:w="1035"/>
        <w:gridCol w:w="1050"/>
        <w:gridCol w:w="798"/>
        <w:gridCol w:w="1905"/>
        <w:gridCol w:w="2024"/>
      </w:tblGrid>
      <w:tr>
        <w:tblPrEx/>
        <w:trPr>
          <w:trHeight w:val="36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0" w:type="dxa"/>
            <w:vMerge w:val="restart"/>
            <w:textDirection w:val="lrTb"/>
            <w:noWrap w:val="false"/>
          </w:tcPr>
          <w:p>
            <w:pPr>
              <w:pStyle w:val="651"/>
              <w:jc w:val="left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80" w:type="dxa"/>
            <w:vMerge w:val="restart"/>
            <w:textDirection w:val="lrTb"/>
            <w:noWrap w:val="false"/>
          </w:tcPr>
          <w:p>
            <w:pPr>
              <w:pStyle w:val="651"/>
              <w:jc w:val="left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Приобретение соли, транспортные расходы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00" w:type="dxa"/>
            <w:vMerge w:val="restart"/>
            <w:textDirection w:val="lrTb"/>
            <w:noWrap w:val="false"/>
          </w:tcPr>
          <w:p>
            <w:pPr>
              <w:pStyle w:val="651"/>
              <w:jc w:val="center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43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2026 год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70" w:type="dxa"/>
            <w:textDirection w:val="lrTb"/>
            <w:noWrap w:val="false"/>
          </w:tcPr>
          <w:p>
            <w:pPr>
              <w:pStyle w:val="651"/>
              <w:jc w:val="left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1000,0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2" w:type="dxa"/>
            <w:textDirection w:val="lrTb"/>
            <w:noWrap w:val="false"/>
          </w:tcPr>
          <w:p>
            <w:pPr>
              <w:pStyle w:val="651"/>
              <w:jc w:val="left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1000,0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5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98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05" w:type="dxa"/>
            <w:vMerge w:val="restart"/>
            <w:textDirection w:val="lrTb"/>
            <w:noWrap w:val="false"/>
          </w:tcPr>
          <w:p>
            <w:pPr>
              <w:pStyle w:val="651"/>
              <w:jc w:val="both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Обеспечение безопасности дорожного движения на дорогах в зимний период</w:t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24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Управление строительства, содержания и развития улично-дорожной сети администрации Ленинградского муниципального округа,</w:t>
            </w:r>
            <w:r>
              <w:rPr>
                <w:rFonts w:ascii="Times New Roman" w:hAnsi="Times New Roman" w:cs="Times New Roman"/>
                <w:sz w:val="24"/>
              </w:rPr>
            </w:r>
          </w:p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МКУ «Центр комплексного содержания территорий»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</w:tr>
      <w:tr>
        <w:tblPrEx/>
        <w:trPr>
          <w:trHeight w:val="36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8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0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43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2027 год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70" w:type="dxa"/>
            <w:textDirection w:val="lrTb"/>
            <w:noWrap w:val="false"/>
          </w:tcPr>
          <w:p>
            <w:pPr>
              <w:pStyle w:val="651"/>
              <w:jc w:val="left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1000,0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2" w:type="dxa"/>
            <w:textDirection w:val="lrTb"/>
            <w:noWrap w:val="false"/>
          </w:tcPr>
          <w:p>
            <w:pPr>
              <w:pStyle w:val="651"/>
              <w:jc w:val="left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1000,0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5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98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05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24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36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8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0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43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2028 год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70" w:type="dxa"/>
            <w:textDirection w:val="lrTb"/>
            <w:noWrap w:val="false"/>
          </w:tcPr>
          <w:p>
            <w:pPr>
              <w:pStyle w:val="651"/>
              <w:jc w:val="left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1050,0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2" w:type="dxa"/>
            <w:textDirection w:val="lrTb"/>
            <w:noWrap w:val="false"/>
          </w:tcPr>
          <w:p>
            <w:pPr>
              <w:pStyle w:val="651"/>
              <w:jc w:val="left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1050,0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5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98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05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24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36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8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0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43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2029 год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70" w:type="dxa"/>
            <w:textDirection w:val="lrTb"/>
            <w:noWrap w:val="false"/>
          </w:tcPr>
          <w:p>
            <w:pPr>
              <w:pStyle w:val="651"/>
              <w:jc w:val="left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1100,0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2" w:type="dxa"/>
            <w:textDirection w:val="lrTb"/>
            <w:noWrap w:val="false"/>
          </w:tcPr>
          <w:p>
            <w:pPr>
              <w:pStyle w:val="651"/>
              <w:jc w:val="left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1100,0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5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98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05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24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36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8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0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43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2030 год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70" w:type="dxa"/>
            <w:textDirection w:val="lrTb"/>
            <w:noWrap w:val="false"/>
          </w:tcPr>
          <w:p>
            <w:pPr>
              <w:pStyle w:val="651"/>
              <w:jc w:val="left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1150,0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2" w:type="dxa"/>
            <w:textDirection w:val="lrTb"/>
            <w:noWrap w:val="false"/>
          </w:tcPr>
          <w:p>
            <w:pPr>
              <w:pStyle w:val="651"/>
              <w:jc w:val="left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1150,0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5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98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05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24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36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8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0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43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всего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70" w:type="dxa"/>
            <w:textDirection w:val="lrTb"/>
            <w:noWrap w:val="false"/>
          </w:tcPr>
          <w:p>
            <w:pPr>
              <w:pStyle w:val="651"/>
              <w:jc w:val="left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5300,0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2" w:type="dxa"/>
            <w:textDirection w:val="lrTb"/>
            <w:noWrap w:val="false"/>
          </w:tcPr>
          <w:p>
            <w:pPr>
              <w:pStyle w:val="651"/>
              <w:jc w:val="left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5300,0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5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98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05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24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368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0" w:type="dxa"/>
            <w:vMerge w:val="restart"/>
            <w:textDirection w:val="lrTb"/>
            <w:noWrap w:val="false"/>
          </w:tcPr>
          <w:p>
            <w:pPr>
              <w:pStyle w:val="651"/>
              <w:jc w:val="left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80" w:type="dxa"/>
            <w:vMerge w:val="restart"/>
            <w:textDirection w:val="lrTb"/>
            <w:noWrap w:val="false"/>
          </w:tcPr>
          <w:p>
            <w:pPr>
              <w:pStyle w:val="651"/>
              <w:jc w:val="left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Приобретение и ремонт светофорных объектов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00" w:type="dxa"/>
            <w:vMerge w:val="restart"/>
            <w:textDirection w:val="lrTb"/>
            <w:noWrap w:val="false"/>
          </w:tcPr>
          <w:p>
            <w:pPr>
              <w:pStyle w:val="651"/>
              <w:jc w:val="center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43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2026 год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70" w:type="dxa"/>
            <w:textDirection w:val="lrTb"/>
            <w:noWrap w:val="false"/>
          </w:tcPr>
          <w:p>
            <w:pPr>
              <w:pStyle w:val="651"/>
              <w:jc w:val="left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200,0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2" w:type="dxa"/>
            <w:textDirection w:val="lrTb"/>
            <w:noWrap w:val="false"/>
          </w:tcPr>
          <w:p>
            <w:pPr>
              <w:pStyle w:val="651"/>
              <w:jc w:val="left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200,0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5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98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05" w:type="dxa"/>
            <w:vMerge w:val="restart"/>
            <w:textDirection w:val="lrTb"/>
            <w:noWrap w:val="false"/>
          </w:tcPr>
          <w:p>
            <w:pPr>
              <w:pStyle w:val="651"/>
              <w:jc w:val="both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Создание условия для безопасности проезда и перехода перекрестков</w:t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24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Управление строительства, содержания и развития улично-дорожной сети администрации Ленинградского муниципального округа,</w:t>
            </w:r>
            <w:r>
              <w:rPr>
                <w:rFonts w:ascii="Times New Roman" w:hAnsi="Times New Roman" w:cs="Times New Roman"/>
                <w:sz w:val="24"/>
              </w:rPr>
            </w:r>
          </w:p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МКУ «Центр комплексного содержания территорий»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</w:tr>
      <w:tr>
        <w:tblPrEx/>
        <w:trPr>
          <w:trHeight w:val="35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8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0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43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2027 год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70" w:type="dxa"/>
            <w:textDirection w:val="lrTb"/>
            <w:noWrap w:val="false"/>
          </w:tcPr>
          <w:p>
            <w:pPr>
              <w:pStyle w:val="651"/>
              <w:jc w:val="left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2000,0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2" w:type="dxa"/>
            <w:textDirection w:val="lrTb"/>
            <w:noWrap w:val="false"/>
          </w:tcPr>
          <w:p>
            <w:pPr>
              <w:pStyle w:val="651"/>
              <w:jc w:val="left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2000,0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5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98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05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24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36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8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0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43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2028 год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70" w:type="dxa"/>
            <w:textDirection w:val="lrTb"/>
            <w:noWrap w:val="false"/>
          </w:tcPr>
          <w:p>
            <w:pPr>
              <w:pStyle w:val="651"/>
              <w:jc w:val="left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2050,0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2" w:type="dxa"/>
            <w:textDirection w:val="lrTb"/>
            <w:noWrap w:val="false"/>
          </w:tcPr>
          <w:p>
            <w:pPr>
              <w:pStyle w:val="651"/>
              <w:jc w:val="left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2050,0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5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98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05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24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36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8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0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43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2029 год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70" w:type="dxa"/>
            <w:textDirection w:val="lrTb"/>
            <w:noWrap w:val="false"/>
          </w:tcPr>
          <w:p>
            <w:pPr>
              <w:pStyle w:val="651"/>
              <w:jc w:val="left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2100,0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2" w:type="dxa"/>
            <w:textDirection w:val="lrTb"/>
            <w:noWrap w:val="false"/>
          </w:tcPr>
          <w:p>
            <w:pPr>
              <w:pStyle w:val="651"/>
              <w:jc w:val="left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2100,0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5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98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05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24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36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8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0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43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2030 год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70" w:type="dxa"/>
            <w:textDirection w:val="lrTb"/>
            <w:noWrap w:val="false"/>
          </w:tcPr>
          <w:p>
            <w:pPr>
              <w:pStyle w:val="651"/>
              <w:jc w:val="left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2150,0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2" w:type="dxa"/>
            <w:textDirection w:val="lrTb"/>
            <w:noWrap w:val="false"/>
          </w:tcPr>
          <w:p>
            <w:pPr>
              <w:pStyle w:val="651"/>
              <w:jc w:val="left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2150,0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5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98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05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24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36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8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0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43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всего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70" w:type="dxa"/>
            <w:textDirection w:val="lrTb"/>
            <w:noWrap w:val="false"/>
          </w:tcPr>
          <w:p>
            <w:pPr>
              <w:pStyle w:val="651"/>
              <w:jc w:val="left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8500,0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2" w:type="dxa"/>
            <w:textDirection w:val="lrTb"/>
            <w:noWrap w:val="false"/>
          </w:tcPr>
          <w:p>
            <w:pPr>
              <w:pStyle w:val="651"/>
              <w:jc w:val="left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8500,0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5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98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05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24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360"/>
        </w:trPr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3" w:type="dxa"/>
            <w:textDirection w:val="lrTb"/>
            <w:noWrap w:val="false"/>
          </w:tcPr>
          <w:p>
            <w:pPr>
              <w:pStyle w:val="651"/>
              <w:jc w:val="right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Итого: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70" w:type="dxa"/>
            <w:textDirection w:val="lrTb"/>
            <w:noWrap w:val="false"/>
          </w:tcPr>
          <w:p>
            <w:pPr>
              <w:pStyle w:val="651"/>
              <w:jc w:val="left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61730,0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2" w:type="dxa"/>
            <w:textDirection w:val="lrTb"/>
            <w:noWrap w:val="false"/>
          </w:tcPr>
          <w:p>
            <w:pPr>
              <w:pStyle w:val="651"/>
              <w:jc w:val="left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61730,0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5" w:type="dxa"/>
            <w:textDirection w:val="lrTb"/>
            <w:noWrap w:val="false"/>
          </w:tcPr>
          <w:p>
            <w:pPr>
              <w:pStyle w:val="651"/>
              <w:jc w:val="left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50" w:type="dxa"/>
            <w:textDirection w:val="lrTb"/>
            <w:noWrap w:val="false"/>
          </w:tcPr>
          <w:p>
            <w:pPr>
              <w:pStyle w:val="651"/>
              <w:jc w:val="left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98" w:type="dxa"/>
            <w:textDirection w:val="lrTb"/>
            <w:noWrap w:val="false"/>
          </w:tcPr>
          <w:p>
            <w:pPr>
              <w:pStyle w:val="651"/>
              <w:jc w:val="left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29" w:type="dxa"/>
            <w:textDirection w:val="lrTb"/>
            <w:noWrap w:val="false"/>
          </w:tcPr>
          <w:p>
            <w:pPr>
              <w:pStyle w:val="651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</w:tr>
    </w:tbl>
    <w:tbl>
      <w:tblPr>
        <w:tblW w:w="0" w:type="auto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550"/>
        <w:gridCol w:w="2780"/>
        <w:gridCol w:w="1200"/>
        <w:gridCol w:w="1143"/>
        <w:gridCol w:w="1170"/>
        <w:gridCol w:w="1152"/>
        <w:gridCol w:w="1035"/>
        <w:gridCol w:w="1050"/>
        <w:gridCol w:w="798"/>
        <w:gridCol w:w="1905"/>
        <w:gridCol w:w="2024"/>
      </w:tblGrid>
      <w:tr>
        <w:tblPrEx/>
        <w:trPr>
          <w:trHeight w:val="360"/>
        </w:trPr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3" w:type="dxa"/>
            <w:textDirection w:val="lrTb"/>
            <w:noWrap w:val="false"/>
          </w:tcPr>
          <w:p>
            <w:pPr>
              <w:pStyle w:val="651"/>
              <w:jc w:val="right"/>
              <w:widowControl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Всего:</w:t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7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64817,4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2" w:type="dxa"/>
            <w:textDirection w:val="lrTb"/>
            <w:noWrap w:val="false"/>
          </w:tcPr>
          <w:p>
            <w:pPr>
              <w:pStyle w:val="651"/>
              <w:jc w:val="left"/>
              <w:widowControl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350735,4</w:t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5" w:type="dxa"/>
            <w:textDirection w:val="lrTb"/>
            <w:noWrap w:val="false"/>
          </w:tcPr>
          <w:p>
            <w:pPr>
              <w:pStyle w:val="651"/>
              <w:jc w:val="center"/>
              <w:widowControl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14082,0</w:t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50" w:type="dxa"/>
            <w:textDirection w:val="lrTb"/>
            <w:noWrap w:val="false"/>
          </w:tcPr>
          <w:p>
            <w:pPr>
              <w:pStyle w:val="651"/>
              <w:jc w:val="center"/>
              <w:widowControl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98" w:type="dxa"/>
            <w:textDirection w:val="lrTb"/>
            <w:noWrap w:val="false"/>
          </w:tcPr>
          <w:p>
            <w:pPr>
              <w:pStyle w:val="651"/>
              <w:jc w:val="center"/>
              <w:widowControl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29" w:type="dxa"/>
            <w:textDirection w:val="lrTb"/>
            <w:noWrap w:val="false"/>
          </w:tcPr>
          <w:p>
            <w:pPr>
              <w:pStyle w:val="651"/>
              <w:jc w:val="center"/>
              <w:widowControl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</w:tc>
      </w:tr>
    </w:tbl>
    <w:p>
      <w:pPr>
        <w:pStyle w:val="651"/>
        <w:jc w:val="right"/>
        <w:widowControl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</w:rPr>
        <w:t xml:space="preserve">»</w:t>
      </w:r>
      <w:r>
        <w:rPr>
          <w:rFonts w:ascii="Times New Roman" w:hAnsi="Times New Roman" w:eastAsia="Times New Roman" w:cs="Times New Roman"/>
        </w:rPr>
      </w:r>
    </w:p>
    <w:p>
      <w:pPr>
        <w:pStyle w:val="651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</w:rPr>
      </w:r>
    </w:p>
    <w:p>
      <w:pPr>
        <w:pStyle w:val="651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</w:rPr>
      </w:r>
    </w:p>
    <w:p>
      <w:pPr>
        <w:pStyle w:val="651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eastAsia="Times New Roman" w:cs="Times New Roman"/>
          <w:sz w:val="28"/>
        </w:rPr>
        <w:t xml:space="preserve">Заместител</w:t>
      </w:r>
      <w:r>
        <w:rPr>
          <w:rFonts w:ascii="Times New Roman" w:hAnsi="Times New Roman" w:eastAsia="Times New Roman" w:cs="Times New Roman"/>
          <w:sz w:val="28"/>
        </w:rPr>
        <w:t xml:space="preserve">ь главы </w:t>
      </w:r>
      <w:r>
        <w:rPr>
          <w:rFonts w:ascii="Times New Roman" w:hAnsi="Times New Roman" w:eastAsia="Times New Roman" w:cs="Times New Roman"/>
          <w:sz w:val="28"/>
        </w:rPr>
        <w:t xml:space="preserve">Ленинградского</w:t>
      </w:r>
      <w:r>
        <w:rPr>
          <w:rFonts w:ascii="Times New Roman" w:hAnsi="Times New Roman" w:cs="Times New Roman"/>
          <w:sz w:val="28"/>
        </w:rPr>
      </w:r>
    </w:p>
    <w:p>
      <w:pPr>
        <w:pStyle w:val="651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eastAsia="Times New Roman" w:cs="Times New Roman"/>
          <w:sz w:val="28"/>
        </w:rPr>
        <w:t xml:space="preserve">муниципального округа                                                                                                                                               В.В. Мальченко</w:t>
      </w:r>
      <w:r>
        <w:rPr>
          <w:rFonts w:ascii="Times New Roman" w:hAnsi="Times New Roman" w:cs="Times New Roman"/>
          <w:sz w:val="28"/>
        </w:rPr>
      </w:r>
    </w:p>
    <w:sectPr>
      <w:headerReference w:type="default" r:id="rId8"/>
      <w:footnotePr/>
      <w:endnotePr/>
      <w:type w:val="nextPage"/>
      <w:pgSz w:w="16848" w:h="11908" w:orient="landscape"/>
      <w:pgMar w:top="1134" w:right="737" w:bottom="1134" w:left="1304" w:header="1134" w:footer="1134" w:gutter="0"/>
      <w:cols w:num="1" w:sep="0" w:space="1701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</w:font>
  <w:font w:name="Times New Roman">
    <w:panose1 w:val="02020603050405020304"/>
  </w:font>
  <w:font w:name="XO Thames">
    <w:panose1 w:val="02000603000000000000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77"/>
      <w:jc w:val="center"/>
      <w:widowControl/>
    </w:pPr>
    <w:r>
      <mc:AlternateContent>
        <mc:Choice Requires="wpg">
          <w:drawing>
            <wp:anchor xmlns:wp="http://schemas.openxmlformats.org/drawingml/2006/wordprocessingDrawing" xmlns:wp14="http://schemas.microsoft.com/office/word/2010/wordprocessingDrawing" distT="0" distB="0" distL="0" distR="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270000" cy="1270000"/>
              <wp:effectExtent l="0" t="0" r="0" b="0"/>
              <wp:wrapSquare wrapText="bothSides"/>
              <wp:docPr id="1" name="Picture 1" hidden="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Pr id="0" name=""/>
                    <wps:cNvSpPr txBox="1"/>
                    <wps:spPr bwMode="auto">
                      <a:xfrm rot="0" flipH="0" flipV="0">
                        <a:off x="0" y="0"/>
                        <a:ext cx="1270000" cy="12700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651"/>
                            <w:jc w:val="center"/>
                            <w:widowControl/>
                            <w:rPr>
                              <w:color w:val="000000"/>
                              <w:spacing w:val="0"/>
                            </w:rPr>
                          </w:pPr>
                          <w:r>
                            <w:rPr>
                              <w:color w:val="000000"/>
                              <w:spacing w:val="0"/>
                            </w:rPr>
                            <w:fldChar w:fldCharType="begin"/>
                          </w:r>
                          <w:r>
                            <w:rPr>
                              <w:color w:val="000000"/>
                              <w:spacing w:val="0"/>
                            </w:rPr>
                            <w:instrText xml:space="preserve">PAGE \* Arabic</w:instrText>
                          </w:r>
                          <w:r>
                            <w:rPr>
                              <w:color w:val="000000"/>
                              <w:spacing w:val="0"/>
                            </w:rPr>
                            <w:fldChar w:fldCharType="separate"/>
                          </w:r>
                          <w:r>
                            <w:rPr>
                              <w:color w:val="000000"/>
                              <w:spacing w:val="0"/>
                            </w:rPr>
                            <w:t xml:space="preserve"> </w:t>
                          </w:r>
                          <w:r>
                            <w:rPr>
                              <w:color w:val="000000"/>
                              <w:spacing w:val="0"/>
                            </w:rPr>
                            <w:fldChar w:fldCharType="end"/>
                          </w:r>
                          <w:r>
                            <w:rPr>
                              <w:color w:val="000000"/>
                              <w:spacing w:val="0"/>
                            </w:rPr>
                          </w:r>
                        </w:p>
                      </w:txbxContent>
                    </wps:txbx>
                    <wps:bodyPr vert="horz" wrap="none" lIns="91440" tIns="45720" rIns="91440" bIns="45720" anchor="ctr" anchorCtr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shape 0" o:spid="_x0000_s0" o:spt="202" type="#_x0000_t202" style="position:absolute;z-index:251658240;o:allowoverlap:true;o:allowincell:true;mso-position-horizontal-relative:margin;mso-position-horizontal:center;mso-position-vertical-relative:text;margin-top:0.00pt;mso-position-vertical:absolute;width:100.00pt;height:100.00pt;mso-wrap-distance-left:0.00pt;mso-wrap-distance-top:0.00pt;mso-wrap-distance-right:0.00pt;mso-wrap-distance-bottom:0.00pt;rotation:0;v-text-anchor:middle;visibility:visible;" filled="f">
              <w10:wrap type="square"/>
              <v:textbox inset="0,0,0,0">
                <w:txbxContent>
                  <w:p>
                    <w:pPr>
                      <w:pStyle w:val="651"/>
                      <w:jc w:val="center"/>
                      <w:widowControl/>
                      <w:rPr>
                        <w:color w:val="000000"/>
                        <w:spacing w:val="0"/>
                      </w:rPr>
                    </w:pPr>
                    <w:r>
                      <w:rPr>
                        <w:color w:val="000000"/>
                        <w:spacing w:val="0"/>
                      </w:rPr>
                      <w:fldChar w:fldCharType="begin"/>
                    </w:r>
                    <w:r>
                      <w:rPr>
                        <w:color w:val="000000"/>
                        <w:spacing w:val="0"/>
                      </w:rPr>
                      <w:instrText xml:space="preserve">PAGE \* Arabic</w:instrText>
                    </w:r>
                    <w:r>
                      <w:rPr>
                        <w:color w:val="000000"/>
                        <w:spacing w:val="0"/>
                      </w:rPr>
                      <w:fldChar w:fldCharType="separate"/>
                    </w:r>
                    <w:r>
                      <w:rPr>
                        <w:color w:val="000000"/>
                        <w:spacing w:val="0"/>
                      </w:rPr>
                      <w:t xml:space="preserve"> </w:t>
                    </w:r>
                    <w:r>
                      <w:rPr>
                        <w:color w:val="000000"/>
                        <w:spacing w:val="0"/>
                      </w:rPr>
                      <w:fldChar w:fldCharType="end"/>
                    </w:r>
                    <w:r>
                      <w:rPr>
                        <w:color w:val="000000"/>
                        <w:spacing w:val="0"/>
                      </w:rPr>
                    </w:r>
                  </w:p>
                </w:txbxContent>
              </v:textbox>
            </v:shape>
          </w:pict>
        </mc:Fallback>
      </mc:AlternateContent>
    </w:r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XO Thames" w:hAnsi="XO Thames" w:eastAsia="Times New Roman" w:cs="Times New Roman"/>
        <w:color w:val="000000"/>
        <w:sz w:val="24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1">
    <w:name w:val="Default Paragraph Font"/>
    <w:uiPriority w:val="1"/>
    <w:semiHidden/>
    <w:unhideWhenUsed/>
  </w:style>
  <w:style w:type="character" w:styleId="14">
    <w:name w:val="Heading 1 Char"/>
    <w:basedOn w:val="11"/>
    <w:link w:val="670"/>
    <w:uiPriority w:val="9"/>
    <w:rPr>
      <w:rFonts w:ascii="Arial" w:hAnsi="Arial" w:eastAsia="Arial" w:cs="Arial"/>
      <w:sz w:val="40"/>
      <w:szCs w:val="40"/>
    </w:rPr>
  </w:style>
  <w:style w:type="character" w:styleId="16">
    <w:name w:val="Heading 2 Char"/>
    <w:basedOn w:val="11"/>
    <w:link w:val="692"/>
    <w:uiPriority w:val="9"/>
    <w:rPr>
      <w:rFonts w:ascii="Arial" w:hAnsi="Arial" w:eastAsia="Arial" w:cs="Arial"/>
      <w:sz w:val="34"/>
    </w:rPr>
  </w:style>
  <w:style w:type="character" w:styleId="18">
    <w:name w:val="Heading 3 Char"/>
    <w:basedOn w:val="11"/>
    <w:link w:val="664"/>
    <w:uiPriority w:val="9"/>
    <w:rPr>
      <w:rFonts w:ascii="Arial" w:hAnsi="Arial" w:eastAsia="Arial" w:cs="Arial"/>
      <w:sz w:val="30"/>
      <w:szCs w:val="30"/>
    </w:rPr>
  </w:style>
  <w:style w:type="character" w:styleId="20">
    <w:name w:val="Heading 4 Char"/>
    <w:basedOn w:val="11"/>
    <w:link w:val="690"/>
    <w:uiPriority w:val="9"/>
    <w:rPr>
      <w:rFonts w:ascii="Arial" w:hAnsi="Arial" w:eastAsia="Arial" w:cs="Arial"/>
      <w:b/>
      <w:bCs/>
      <w:sz w:val="26"/>
      <w:szCs w:val="26"/>
    </w:rPr>
  </w:style>
  <w:style w:type="character" w:styleId="22">
    <w:name w:val="Heading 5 Char"/>
    <w:basedOn w:val="11"/>
    <w:link w:val="668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52"/>
    <w:next w:val="652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11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52"/>
    <w:next w:val="652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11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52"/>
    <w:next w:val="652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11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52"/>
    <w:next w:val="652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11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52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character" w:styleId="35">
    <w:name w:val="Title Char"/>
    <w:basedOn w:val="11"/>
    <w:link w:val="688"/>
    <w:uiPriority w:val="10"/>
    <w:rPr>
      <w:sz w:val="48"/>
      <w:szCs w:val="48"/>
    </w:rPr>
  </w:style>
  <w:style w:type="character" w:styleId="37">
    <w:name w:val="Subtitle Char"/>
    <w:basedOn w:val="11"/>
    <w:link w:val="686"/>
    <w:uiPriority w:val="11"/>
    <w:rPr>
      <w:sz w:val="24"/>
      <w:szCs w:val="24"/>
    </w:rPr>
  </w:style>
  <w:style w:type="paragraph" w:styleId="38">
    <w:name w:val="Quote"/>
    <w:basedOn w:val="652"/>
    <w:next w:val="652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52"/>
    <w:next w:val="652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52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11"/>
    <w:link w:val="42"/>
    <w:uiPriority w:val="99"/>
  </w:style>
  <w:style w:type="paragraph" w:styleId="44">
    <w:name w:val="Footer"/>
    <w:basedOn w:val="652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11"/>
    <w:link w:val="44"/>
    <w:uiPriority w:val="99"/>
  </w:style>
  <w:style w:type="paragraph" w:styleId="46">
    <w:name w:val="Caption"/>
    <w:basedOn w:val="652"/>
    <w:next w:val="652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3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175">
    <w:name w:val="footnote text"/>
    <w:basedOn w:val="652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11"/>
    <w:uiPriority w:val="99"/>
    <w:unhideWhenUsed/>
    <w:rPr>
      <w:vertAlign w:val="superscript"/>
    </w:rPr>
  </w:style>
  <w:style w:type="paragraph" w:styleId="178">
    <w:name w:val="endnote text"/>
    <w:basedOn w:val="652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11"/>
    <w:uiPriority w:val="99"/>
    <w:semiHidden/>
    <w:unhideWhenUsed/>
    <w:rPr>
      <w:vertAlign w:val="superscript"/>
    </w:rPr>
  </w:style>
  <w:style w:type="paragraph" w:styleId="190">
    <w:name w:val="TOC Heading"/>
    <w:uiPriority w:val="39"/>
    <w:unhideWhenUsed/>
  </w:style>
  <w:style w:type="paragraph" w:styleId="191">
    <w:name w:val="table of figures"/>
    <w:basedOn w:val="652"/>
    <w:next w:val="652"/>
    <w:uiPriority w:val="99"/>
    <w:unhideWhenUsed/>
    <w:pPr>
      <w:spacing w:after="0" w:afterAutospacing="0"/>
    </w:pPr>
  </w:style>
  <w:style w:type="paragraph" w:styleId="651" w:default="1">
    <w:name w:val="Normal"/>
    <w:link w:val="652"/>
    <w:uiPriority w:val="0"/>
    <w:qFormat/>
    <w:pPr>
      <w:jc w:val="both"/>
      <w:spacing w:line="240" w:lineRule="auto"/>
      <w:widowControl/>
    </w:pPr>
    <w:rPr>
      <w:rFonts w:ascii="XO Thames" w:hAnsi="XO Thames"/>
      <w:sz w:val="28"/>
    </w:rPr>
  </w:style>
  <w:style w:type="character" w:styleId="652" w:default="1">
    <w:name w:val="Normal"/>
    <w:link w:val="651"/>
    <w:rPr>
      <w:rFonts w:ascii="XO Thames" w:hAnsi="XO Thames"/>
      <w:sz w:val="28"/>
    </w:rPr>
  </w:style>
  <w:style w:type="paragraph" w:styleId="653">
    <w:name w:val="toc 2"/>
    <w:next w:val="651"/>
    <w:link w:val="654"/>
    <w:uiPriority w:val="39"/>
    <w:pPr>
      <w:ind w:left="200" w:firstLine="0"/>
      <w:jc w:val="left"/>
      <w:widowControl/>
    </w:pPr>
    <w:rPr>
      <w:rFonts w:ascii="XO Thames" w:hAnsi="XO Thames"/>
      <w:sz w:val="28"/>
    </w:rPr>
  </w:style>
  <w:style w:type="character" w:styleId="654">
    <w:name w:val="toc 2"/>
    <w:link w:val="653"/>
    <w:rPr>
      <w:rFonts w:ascii="XO Thames" w:hAnsi="XO Thames"/>
      <w:sz w:val="28"/>
    </w:rPr>
  </w:style>
  <w:style w:type="paragraph" w:styleId="655">
    <w:name w:val="toc 4"/>
    <w:next w:val="651"/>
    <w:link w:val="656"/>
    <w:uiPriority w:val="39"/>
    <w:pPr>
      <w:ind w:left="600" w:firstLine="0"/>
      <w:jc w:val="left"/>
      <w:widowControl/>
    </w:pPr>
    <w:rPr>
      <w:rFonts w:ascii="XO Thames" w:hAnsi="XO Thames"/>
      <w:sz w:val="28"/>
    </w:rPr>
  </w:style>
  <w:style w:type="character" w:styleId="656">
    <w:name w:val="toc 4"/>
    <w:link w:val="655"/>
    <w:rPr>
      <w:rFonts w:ascii="XO Thames" w:hAnsi="XO Thames"/>
      <w:sz w:val="28"/>
    </w:rPr>
  </w:style>
  <w:style w:type="paragraph" w:styleId="657">
    <w:name w:val="toc 6"/>
    <w:next w:val="651"/>
    <w:link w:val="658"/>
    <w:uiPriority w:val="39"/>
    <w:pPr>
      <w:ind w:left="1000" w:firstLine="0"/>
      <w:jc w:val="left"/>
      <w:widowControl/>
    </w:pPr>
    <w:rPr>
      <w:rFonts w:ascii="XO Thames" w:hAnsi="XO Thames"/>
      <w:sz w:val="28"/>
    </w:rPr>
  </w:style>
  <w:style w:type="character" w:styleId="658">
    <w:name w:val="toc 6"/>
    <w:link w:val="657"/>
    <w:rPr>
      <w:rFonts w:ascii="XO Thames" w:hAnsi="XO Thames"/>
      <w:sz w:val="28"/>
    </w:rPr>
  </w:style>
  <w:style w:type="paragraph" w:styleId="659">
    <w:name w:val="toc 7"/>
    <w:next w:val="651"/>
    <w:link w:val="660"/>
    <w:uiPriority w:val="39"/>
    <w:pPr>
      <w:ind w:left="1200" w:firstLine="0"/>
      <w:jc w:val="left"/>
      <w:widowControl/>
    </w:pPr>
    <w:rPr>
      <w:rFonts w:ascii="XO Thames" w:hAnsi="XO Thames"/>
      <w:sz w:val="28"/>
    </w:rPr>
  </w:style>
  <w:style w:type="character" w:styleId="660">
    <w:name w:val="toc 7"/>
    <w:link w:val="659"/>
    <w:rPr>
      <w:rFonts w:ascii="XO Thames" w:hAnsi="XO Thames"/>
      <w:sz w:val="28"/>
    </w:rPr>
  </w:style>
  <w:style w:type="paragraph" w:styleId="661">
    <w:name w:val="Endnote"/>
    <w:link w:val="662"/>
    <w:pPr>
      <w:ind w:left="0" w:firstLine="851"/>
      <w:jc w:val="both"/>
      <w:widowControl/>
    </w:pPr>
    <w:rPr>
      <w:rFonts w:ascii="XO Thames" w:hAnsi="XO Thames"/>
      <w:sz w:val="22"/>
    </w:rPr>
  </w:style>
  <w:style w:type="character" w:styleId="662">
    <w:name w:val="Endnote"/>
    <w:link w:val="661"/>
    <w:rPr>
      <w:rFonts w:ascii="XO Thames" w:hAnsi="XO Thames"/>
      <w:sz w:val="22"/>
    </w:rPr>
  </w:style>
  <w:style w:type="paragraph" w:styleId="663">
    <w:name w:val="Heading 3"/>
    <w:next w:val="651"/>
    <w:link w:val="664"/>
    <w:uiPriority w:val="9"/>
    <w:qFormat/>
    <w:pPr>
      <w:jc w:val="both"/>
      <w:spacing w:before="120" w:after="120"/>
      <w:widowControl/>
      <w:outlineLvl w:val="2"/>
    </w:pPr>
    <w:rPr>
      <w:rFonts w:ascii="XO Thames" w:hAnsi="XO Thames"/>
      <w:b/>
      <w:sz w:val="26"/>
    </w:rPr>
  </w:style>
  <w:style w:type="character" w:styleId="664">
    <w:name w:val="Heading 3"/>
    <w:link w:val="663"/>
    <w:rPr>
      <w:rFonts w:ascii="XO Thames" w:hAnsi="XO Thames"/>
      <w:b/>
      <w:sz w:val="26"/>
    </w:rPr>
  </w:style>
  <w:style w:type="paragraph" w:styleId="665">
    <w:name w:val="toc 3"/>
    <w:next w:val="651"/>
    <w:link w:val="666"/>
    <w:uiPriority w:val="39"/>
    <w:pPr>
      <w:ind w:left="400" w:firstLine="0"/>
      <w:jc w:val="left"/>
      <w:widowControl/>
    </w:pPr>
    <w:rPr>
      <w:rFonts w:ascii="XO Thames" w:hAnsi="XO Thames"/>
      <w:sz w:val="28"/>
    </w:rPr>
  </w:style>
  <w:style w:type="character" w:styleId="666">
    <w:name w:val="toc 3"/>
    <w:link w:val="665"/>
    <w:rPr>
      <w:rFonts w:ascii="XO Thames" w:hAnsi="XO Thames"/>
      <w:sz w:val="28"/>
    </w:rPr>
  </w:style>
  <w:style w:type="paragraph" w:styleId="667">
    <w:name w:val="Heading 5"/>
    <w:next w:val="651"/>
    <w:link w:val="668"/>
    <w:uiPriority w:val="9"/>
    <w:qFormat/>
    <w:pPr>
      <w:jc w:val="both"/>
      <w:spacing w:before="120" w:after="120"/>
      <w:widowControl/>
      <w:outlineLvl w:val="4"/>
    </w:pPr>
    <w:rPr>
      <w:rFonts w:ascii="XO Thames" w:hAnsi="XO Thames"/>
      <w:b/>
      <w:sz w:val="22"/>
    </w:rPr>
  </w:style>
  <w:style w:type="character" w:styleId="668">
    <w:name w:val="Heading 5"/>
    <w:link w:val="667"/>
    <w:rPr>
      <w:rFonts w:ascii="XO Thames" w:hAnsi="XO Thames"/>
      <w:b/>
      <w:sz w:val="22"/>
    </w:rPr>
  </w:style>
  <w:style w:type="paragraph" w:styleId="669">
    <w:name w:val="Heading 1"/>
    <w:next w:val="651"/>
    <w:link w:val="670"/>
    <w:uiPriority w:val="9"/>
    <w:qFormat/>
    <w:pPr>
      <w:jc w:val="both"/>
      <w:spacing w:before="120" w:after="120"/>
      <w:widowControl/>
      <w:outlineLvl w:val="0"/>
    </w:pPr>
    <w:rPr>
      <w:rFonts w:ascii="XO Thames" w:hAnsi="XO Thames"/>
      <w:b/>
      <w:sz w:val="32"/>
    </w:rPr>
  </w:style>
  <w:style w:type="character" w:styleId="670">
    <w:name w:val="Heading 1"/>
    <w:link w:val="669"/>
    <w:rPr>
      <w:rFonts w:ascii="XO Thames" w:hAnsi="XO Thames"/>
      <w:b/>
      <w:sz w:val="32"/>
    </w:rPr>
  </w:style>
  <w:style w:type="paragraph" w:styleId="671">
    <w:name w:val="Hyperlink"/>
    <w:link w:val="672"/>
    <w:rPr>
      <w:color w:val="0000ff"/>
      <w:u w:val="single"/>
    </w:rPr>
  </w:style>
  <w:style w:type="character" w:styleId="672">
    <w:name w:val="Hyperlink"/>
    <w:link w:val="671"/>
    <w:rPr>
      <w:color w:val="0000ff"/>
      <w:u w:val="single"/>
    </w:rPr>
  </w:style>
  <w:style w:type="paragraph" w:styleId="673">
    <w:name w:val="Footnote"/>
    <w:link w:val="674"/>
    <w:pPr>
      <w:ind w:left="0" w:firstLine="851"/>
      <w:jc w:val="both"/>
      <w:widowControl/>
    </w:pPr>
    <w:rPr>
      <w:rFonts w:ascii="XO Thames" w:hAnsi="XO Thames"/>
      <w:sz w:val="22"/>
    </w:rPr>
  </w:style>
  <w:style w:type="character" w:styleId="674">
    <w:name w:val="Footnote"/>
    <w:link w:val="673"/>
    <w:rPr>
      <w:rFonts w:ascii="XO Thames" w:hAnsi="XO Thames"/>
      <w:sz w:val="22"/>
    </w:rPr>
  </w:style>
  <w:style w:type="paragraph" w:styleId="675">
    <w:name w:val="toc 1"/>
    <w:next w:val="651"/>
    <w:link w:val="676"/>
    <w:uiPriority w:val="39"/>
    <w:pPr>
      <w:ind w:left="0" w:firstLine="0"/>
      <w:jc w:val="left"/>
      <w:widowControl/>
    </w:pPr>
    <w:rPr>
      <w:rFonts w:ascii="XO Thames" w:hAnsi="XO Thames"/>
      <w:b/>
      <w:sz w:val="28"/>
    </w:rPr>
  </w:style>
  <w:style w:type="character" w:styleId="676">
    <w:name w:val="toc 1"/>
    <w:link w:val="675"/>
    <w:rPr>
      <w:rFonts w:ascii="XO Thames" w:hAnsi="XO Thames"/>
      <w:b/>
      <w:sz w:val="28"/>
    </w:rPr>
  </w:style>
  <w:style w:type="paragraph" w:styleId="677">
    <w:name w:val="Header and Footer"/>
    <w:link w:val="678"/>
    <w:pPr>
      <w:jc w:val="both"/>
      <w:spacing w:line="240" w:lineRule="auto"/>
      <w:widowControl/>
    </w:pPr>
    <w:rPr>
      <w:rFonts w:ascii="XO Thames" w:hAnsi="XO Thames"/>
      <w:sz w:val="28"/>
    </w:rPr>
  </w:style>
  <w:style w:type="character" w:styleId="678">
    <w:name w:val="Header and Footer"/>
    <w:link w:val="677"/>
    <w:rPr>
      <w:rFonts w:ascii="XO Thames" w:hAnsi="XO Thames"/>
      <w:sz w:val="28"/>
    </w:rPr>
  </w:style>
  <w:style w:type="paragraph" w:styleId="679">
    <w:name w:val="toc 9"/>
    <w:next w:val="651"/>
    <w:link w:val="680"/>
    <w:uiPriority w:val="39"/>
    <w:pPr>
      <w:ind w:left="1600" w:firstLine="0"/>
      <w:jc w:val="left"/>
      <w:widowControl/>
    </w:pPr>
    <w:rPr>
      <w:rFonts w:ascii="XO Thames" w:hAnsi="XO Thames"/>
      <w:sz w:val="28"/>
    </w:rPr>
  </w:style>
  <w:style w:type="character" w:styleId="680">
    <w:name w:val="toc 9"/>
    <w:link w:val="679"/>
    <w:rPr>
      <w:rFonts w:ascii="XO Thames" w:hAnsi="XO Thames"/>
      <w:sz w:val="28"/>
    </w:rPr>
  </w:style>
  <w:style w:type="paragraph" w:styleId="681">
    <w:name w:val="toc 8"/>
    <w:next w:val="651"/>
    <w:link w:val="682"/>
    <w:uiPriority w:val="39"/>
    <w:pPr>
      <w:ind w:left="1400" w:firstLine="0"/>
      <w:jc w:val="left"/>
      <w:widowControl/>
    </w:pPr>
    <w:rPr>
      <w:rFonts w:ascii="XO Thames" w:hAnsi="XO Thames"/>
      <w:sz w:val="28"/>
    </w:rPr>
  </w:style>
  <w:style w:type="character" w:styleId="682">
    <w:name w:val="toc 8"/>
    <w:link w:val="681"/>
    <w:rPr>
      <w:rFonts w:ascii="XO Thames" w:hAnsi="XO Thames"/>
      <w:sz w:val="28"/>
    </w:rPr>
  </w:style>
  <w:style w:type="paragraph" w:styleId="683">
    <w:name w:val="toc 5"/>
    <w:next w:val="651"/>
    <w:link w:val="684"/>
    <w:uiPriority w:val="39"/>
    <w:pPr>
      <w:ind w:left="800" w:firstLine="0"/>
      <w:jc w:val="left"/>
      <w:widowControl/>
    </w:pPr>
    <w:rPr>
      <w:rFonts w:ascii="XO Thames" w:hAnsi="XO Thames"/>
      <w:sz w:val="28"/>
    </w:rPr>
  </w:style>
  <w:style w:type="character" w:styleId="684">
    <w:name w:val="toc 5"/>
    <w:link w:val="683"/>
    <w:rPr>
      <w:rFonts w:ascii="XO Thames" w:hAnsi="XO Thames"/>
      <w:sz w:val="28"/>
    </w:rPr>
  </w:style>
  <w:style w:type="paragraph" w:styleId="685">
    <w:name w:val="Subtitle"/>
    <w:next w:val="651"/>
    <w:link w:val="686"/>
    <w:uiPriority w:val="11"/>
    <w:qFormat/>
    <w:pPr>
      <w:jc w:val="both"/>
      <w:widowControl/>
    </w:pPr>
    <w:rPr>
      <w:rFonts w:ascii="XO Thames" w:hAnsi="XO Thames"/>
      <w:i/>
      <w:sz w:val="24"/>
    </w:rPr>
  </w:style>
  <w:style w:type="character" w:styleId="686">
    <w:name w:val="Subtitle"/>
    <w:link w:val="685"/>
    <w:rPr>
      <w:rFonts w:ascii="XO Thames" w:hAnsi="XO Thames"/>
      <w:i/>
      <w:sz w:val="24"/>
    </w:rPr>
  </w:style>
  <w:style w:type="paragraph" w:styleId="687">
    <w:name w:val="Title"/>
    <w:next w:val="651"/>
    <w:link w:val="688"/>
    <w:uiPriority w:val="10"/>
    <w:qFormat/>
    <w:pPr>
      <w:jc w:val="center"/>
      <w:spacing w:before="567" w:after="567"/>
      <w:widowControl/>
    </w:pPr>
    <w:rPr>
      <w:rFonts w:ascii="XO Thames" w:hAnsi="XO Thames"/>
      <w:b/>
      <w:caps/>
      <w:sz w:val="40"/>
    </w:rPr>
  </w:style>
  <w:style w:type="character" w:styleId="688">
    <w:name w:val="Title"/>
    <w:link w:val="687"/>
    <w:rPr>
      <w:rFonts w:ascii="XO Thames" w:hAnsi="XO Thames"/>
      <w:b/>
      <w:caps/>
      <w:sz w:val="40"/>
    </w:rPr>
  </w:style>
  <w:style w:type="paragraph" w:styleId="689">
    <w:name w:val="Heading 4"/>
    <w:next w:val="651"/>
    <w:link w:val="690"/>
    <w:uiPriority w:val="9"/>
    <w:qFormat/>
    <w:pPr>
      <w:jc w:val="both"/>
      <w:spacing w:before="120" w:after="120"/>
      <w:widowControl/>
      <w:outlineLvl w:val="3"/>
    </w:pPr>
    <w:rPr>
      <w:rFonts w:ascii="XO Thames" w:hAnsi="XO Thames"/>
      <w:b/>
      <w:sz w:val="24"/>
    </w:rPr>
  </w:style>
  <w:style w:type="character" w:styleId="690">
    <w:name w:val="Heading 4"/>
    <w:link w:val="689"/>
    <w:rPr>
      <w:rFonts w:ascii="XO Thames" w:hAnsi="XO Thames"/>
      <w:b/>
      <w:sz w:val="24"/>
    </w:rPr>
  </w:style>
  <w:style w:type="paragraph" w:styleId="691">
    <w:name w:val="Heading 2"/>
    <w:next w:val="651"/>
    <w:link w:val="692"/>
    <w:uiPriority w:val="9"/>
    <w:qFormat/>
    <w:pPr>
      <w:jc w:val="both"/>
      <w:spacing w:before="120" w:after="120"/>
      <w:widowControl/>
      <w:outlineLvl w:val="1"/>
    </w:pPr>
    <w:rPr>
      <w:rFonts w:ascii="XO Thames" w:hAnsi="XO Thames"/>
      <w:b/>
      <w:sz w:val="28"/>
    </w:rPr>
  </w:style>
  <w:style w:type="character" w:styleId="692">
    <w:name w:val="Heading 2"/>
    <w:link w:val="691"/>
    <w:rPr>
      <w:rFonts w:ascii="XO Thames" w:hAnsi="XO Thames"/>
      <w:b/>
      <w:sz w:val="28"/>
    </w:rPr>
  </w:style>
  <w:style w:type="numbering" w:styleId="11843" w:default="1">
    <w:name w:val="No List"/>
    <w:uiPriority w:val="99"/>
    <w:semiHidden/>
    <w:unhideWhenUsed/>
  </w:style>
  <w:style w:type="table" w:styleId="11844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Arial"/>
        <a:cs typeface="Arial"/>
      </a:majorFont>
      <a:minorFont>
        <a:latin typeface="XO Thames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63000"/>
                <a:satMod val="300000"/>
              </a:schemeClr>
            </a:gs>
            <a:gs pos="100000">
              <a:schemeClr val="phClr">
                <a:tint val="8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6350">
          <a:solidFill>
            <a:schemeClr val="phClr">
              <a:shade val="95000"/>
              <a:satMod val="105000"/>
            </a:schemeClr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60000"/>
                <a:satMod val="350000"/>
              </a:schemeClr>
            </a:gs>
            <a:gs pos="40000">
              <a:schemeClr val="phClr">
                <a:tint val="5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2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Р7-Офис/7.4.0.351</Application>
  <DocSecurity>0</DocSecurity>
  <ScaleCrop>false</ScaleCrop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2025-10-09T12:06:38Z</dcterms:created>
  <dcterms:modified xsi:type="dcterms:W3CDTF">2025-12-30T06:12:25Z</dcterms:modified>
</cp:coreProperties>
</file>